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2348" w14:textId="77777777" w:rsidR="009225CD" w:rsidRDefault="009225CD" w:rsidP="009225CD">
      <w:pPr>
        <w:pStyle w:val="Heading1"/>
      </w:pPr>
      <w:bookmarkStart w:id="0" w:name="_Toc88564720"/>
      <w:r>
        <w:t>Alternative Provision</w:t>
      </w:r>
      <w:bookmarkEnd w:id="0"/>
    </w:p>
    <w:p w14:paraId="65C0816E" w14:textId="77777777" w:rsidR="009225CD" w:rsidRPr="008B7F08" w:rsidRDefault="009225CD" w:rsidP="009225CD">
      <w:pPr>
        <w:pStyle w:val="NoSpacing"/>
      </w:pPr>
    </w:p>
    <w:p w14:paraId="253257F7" w14:textId="77777777" w:rsidR="009225CD" w:rsidRPr="00147195" w:rsidRDefault="009225CD" w:rsidP="009225CD">
      <w:pPr>
        <w:pStyle w:val="NoSpacing"/>
        <w:jc w:val="center"/>
        <w:rPr>
          <w:rFonts w:cstheme="minorHAnsi"/>
          <w:b/>
          <w:bCs/>
          <w:sz w:val="24"/>
          <w:szCs w:val="24"/>
        </w:rPr>
      </w:pPr>
      <w:r w:rsidRPr="00147195">
        <w:rPr>
          <w:rFonts w:cstheme="minorHAnsi"/>
          <w:b/>
          <w:bCs/>
          <w:sz w:val="24"/>
          <w:szCs w:val="24"/>
        </w:rPr>
        <w:t>Curriculum Intent</w:t>
      </w:r>
    </w:p>
    <w:p w14:paraId="17657400" w14:textId="77777777" w:rsidR="009225CD" w:rsidRPr="00670051" w:rsidRDefault="009225CD" w:rsidP="009225CD">
      <w:pPr>
        <w:pStyle w:val="NoSpacing"/>
        <w:rPr>
          <w:rFonts w:ascii="Tahoma" w:hAnsi="Tahoma" w:cs="Tahoma"/>
          <w:sz w:val="32"/>
          <w:szCs w:val="32"/>
        </w:rPr>
      </w:pPr>
    </w:p>
    <w:p w14:paraId="2A1FF29A"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The Alternative Provision curriculum is designed to facilitate engagement and success for students who have found accessing the mainstream curriculum a significant challenge. Within the curriculum the aim is to build success with small steps so that we develop our young people to take responsibility for their learning and their future choices.</w:t>
      </w:r>
    </w:p>
    <w:p w14:paraId="26AAC62E"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 xml:space="preserve">We aim to maximise opportunities for our students by utilising a range of learning and alternative activities across our curriculum.  We also utilise blended and bespoke programmes to match the needs of individual students and retain connectivity to the school curriculum as far as possible, including mainstream lesson opportunities. </w:t>
      </w:r>
    </w:p>
    <w:p w14:paraId="00818A16" w14:textId="77777777" w:rsidR="009225CD" w:rsidRPr="0044292A" w:rsidRDefault="009225CD" w:rsidP="009225CD">
      <w:pPr>
        <w:pStyle w:val="NoSpacing"/>
        <w:rPr>
          <w:rFonts w:asciiTheme="majorHAnsi" w:hAnsiTheme="majorHAnsi" w:cstheme="majorHAnsi"/>
          <w:b/>
        </w:rPr>
      </w:pPr>
      <w:r w:rsidRPr="0044292A">
        <w:rPr>
          <w:rFonts w:asciiTheme="majorHAnsi" w:hAnsiTheme="majorHAnsi" w:cstheme="majorHAnsi"/>
          <w:b/>
        </w:rPr>
        <w:t>How is the curriculum planned?</w:t>
      </w:r>
    </w:p>
    <w:p w14:paraId="049B2A63" w14:textId="77777777" w:rsidR="009225CD" w:rsidRPr="0044292A" w:rsidRDefault="009225CD" w:rsidP="009225CD">
      <w:pPr>
        <w:pStyle w:val="NoSpacing"/>
        <w:rPr>
          <w:rFonts w:asciiTheme="majorHAnsi" w:hAnsiTheme="majorHAnsi" w:cstheme="majorHAnsi"/>
          <w:b/>
        </w:rPr>
      </w:pPr>
    </w:p>
    <w:p w14:paraId="4FB5DAE0"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 xml:space="preserve">The curriculum is planned to reflect the core offer in English, Maths and Science; alongside additional opportunities for study of other subject areas such as Art and Food Tech. The curriculum is also planned to incorporate those soft skills such as emotional literacy and personal development via 1:1 </w:t>
      </w:r>
      <w:proofErr w:type="gramStart"/>
      <w:r w:rsidRPr="0044292A">
        <w:rPr>
          <w:rFonts w:asciiTheme="majorHAnsi" w:hAnsiTheme="majorHAnsi" w:cstheme="majorHAnsi"/>
        </w:rPr>
        <w:t>sessions</w:t>
      </w:r>
      <w:proofErr w:type="gramEnd"/>
      <w:r w:rsidRPr="0044292A">
        <w:rPr>
          <w:rFonts w:asciiTheme="majorHAnsi" w:hAnsiTheme="majorHAnsi" w:cstheme="majorHAnsi"/>
        </w:rPr>
        <w:t xml:space="preserve">, small group work and other related activities.  Students also have the opportunity to follow a blended programme including mainstream opportunities to reflect their academic strengths and areas of keen interest. </w:t>
      </w:r>
    </w:p>
    <w:p w14:paraId="0E9AB095"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Within the curriculum there is also opportunity to develop skills and confidence through access to a range of activities including outdoor activities, residential trips, music learning and PE. In a number of these activities, we engage with outside providers such as Portsmouth Outdoor Centre and Peter Ashley Activity Centre.</w:t>
      </w:r>
    </w:p>
    <w:p w14:paraId="5F74F940"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 xml:space="preserve">Life skills and emotional regulation are key aspects of work that underpin the above curriculum and are fundamental to student success. As a further branch of our wider opportunities on offer, we encourage engagement in a range of off-site activities and trips during our Personal Development days.  </w:t>
      </w:r>
    </w:p>
    <w:p w14:paraId="258B0423" w14:textId="77777777" w:rsidR="009225CD" w:rsidRPr="0044292A" w:rsidRDefault="009225CD" w:rsidP="009225CD">
      <w:pPr>
        <w:pStyle w:val="NoSpacing"/>
        <w:rPr>
          <w:rFonts w:asciiTheme="majorHAnsi" w:hAnsiTheme="majorHAnsi" w:cstheme="majorHAnsi"/>
          <w:b/>
        </w:rPr>
      </w:pPr>
      <w:r w:rsidRPr="0044292A">
        <w:rPr>
          <w:rFonts w:asciiTheme="majorHAnsi" w:hAnsiTheme="majorHAnsi" w:cstheme="majorHAnsi"/>
          <w:b/>
        </w:rPr>
        <w:t>How is the curriculum delivered/taught?</w:t>
      </w:r>
    </w:p>
    <w:p w14:paraId="612A7E2A" w14:textId="77777777" w:rsidR="009225CD" w:rsidRPr="0044292A" w:rsidRDefault="009225CD" w:rsidP="009225CD">
      <w:pPr>
        <w:pStyle w:val="NoSpacing"/>
        <w:rPr>
          <w:b/>
        </w:rPr>
      </w:pPr>
    </w:p>
    <w:p w14:paraId="36370E17"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 xml:space="preserve">Our curriculum is delivered using a range of methods.  Students are supported in their core subject learning by specific lead sessions from key mainstream subject specialists in </w:t>
      </w:r>
      <w:r>
        <w:rPr>
          <w:rFonts w:asciiTheme="majorHAnsi" w:hAnsiTheme="majorHAnsi" w:cstheme="majorHAnsi"/>
        </w:rPr>
        <w:t xml:space="preserve">English, </w:t>
      </w:r>
      <w:r w:rsidRPr="0044292A">
        <w:rPr>
          <w:rFonts w:asciiTheme="majorHAnsi" w:hAnsiTheme="majorHAnsi" w:cstheme="majorHAnsi"/>
        </w:rPr>
        <w:t xml:space="preserve">Maths and Science. These subjects are also a key focus for any initial mainstream reintegration opportunities. </w:t>
      </w:r>
    </w:p>
    <w:p w14:paraId="7924535B"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This work is further developed via follow-up learning led by our Alternative Provision staff, facilitating bespoke programmes of study and timetables which can be adapted to each student depending on their individual needs and targets.</w:t>
      </w:r>
      <w:r>
        <w:rPr>
          <w:rFonts w:asciiTheme="majorHAnsi" w:hAnsiTheme="majorHAnsi" w:cstheme="majorHAnsi"/>
        </w:rPr>
        <w:t xml:space="preserve"> Blended approaches including mainstream access, are fundamental to our curriculum programme.</w:t>
      </w:r>
    </w:p>
    <w:p w14:paraId="019EC372"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Further programmes such as the Functional Skills and additional vocational qualifications are led and delivered by our Alternative Provision staff in line with guidance and support from course moderators and advisors.  We engage widely with further outside providers in our local community to offer specialist support in specialist activities such as sailing &amp; outdoor activities and PE opportunities.</w:t>
      </w:r>
    </w:p>
    <w:p w14:paraId="42BCA9C8"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lastRenderedPageBreak/>
        <w:t xml:space="preserve">The range of events and activities on offer through our Personal Development days are delivered via Alternative Provision staff or specialist teachers depending on the activity. </w:t>
      </w:r>
    </w:p>
    <w:p w14:paraId="5ACA2E6E"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Throughout the curriculum offer for our Alternative Provision students we ensure a close consistency of key staff to support the trusting relationships which are fundamental to the success of our students.</w:t>
      </w:r>
    </w:p>
    <w:p w14:paraId="19640FEC" w14:textId="77777777" w:rsidR="009225CD" w:rsidRPr="0044292A" w:rsidRDefault="009225CD" w:rsidP="009225CD">
      <w:pPr>
        <w:pStyle w:val="NoSpacing"/>
        <w:rPr>
          <w:rFonts w:asciiTheme="majorHAnsi" w:hAnsiTheme="majorHAnsi" w:cstheme="majorHAnsi"/>
          <w:b/>
        </w:rPr>
      </w:pPr>
      <w:r w:rsidRPr="0044292A">
        <w:rPr>
          <w:rFonts w:asciiTheme="majorHAnsi" w:hAnsiTheme="majorHAnsi" w:cstheme="majorHAnsi"/>
          <w:b/>
        </w:rPr>
        <w:t>How is the curriculum assessed?</w:t>
      </w:r>
    </w:p>
    <w:p w14:paraId="2EC3A208" w14:textId="77777777" w:rsidR="009225CD" w:rsidRPr="0044292A" w:rsidRDefault="009225CD" w:rsidP="009225CD">
      <w:pPr>
        <w:pStyle w:val="NoSpacing"/>
        <w:rPr>
          <w:b/>
        </w:rPr>
      </w:pPr>
    </w:p>
    <w:p w14:paraId="222BE9D2"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Assessment is supported by all staff involved in the delivery and support of our curriculum.</w:t>
      </w:r>
    </w:p>
    <w:p w14:paraId="09B5D9C3"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Specialist subject teachers take responsibility for marking, feedback and tracking of progress in line with our usual mainstream processes. External assessment and examinations are completed towards qualifications for students including Functional Skills opportunities in English and Maths alongside GCSE qualifications and other available opportunities bespoke to individuals and their presenting needs.</w:t>
      </w:r>
      <w:r>
        <w:rPr>
          <w:rFonts w:asciiTheme="majorHAnsi" w:hAnsiTheme="majorHAnsi" w:cstheme="majorHAnsi"/>
        </w:rPr>
        <w:t xml:space="preserve">  Students remain attached to mainstream classes to facilitate assessment and feedback processes from allocated subject teachers.</w:t>
      </w:r>
    </w:p>
    <w:p w14:paraId="206FB15C" w14:textId="77777777" w:rsidR="009225CD" w:rsidRPr="0044292A" w:rsidRDefault="009225CD" w:rsidP="009225CD">
      <w:pPr>
        <w:rPr>
          <w:rFonts w:asciiTheme="majorHAnsi" w:hAnsiTheme="majorHAnsi" w:cstheme="majorHAnsi"/>
        </w:rPr>
      </w:pPr>
      <w:r w:rsidRPr="0044292A">
        <w:rPr>
          <w:rFonts w:asciiTheme="majorHAnsi" w:hAnsiTheme="majorHAnsi" w:cstheme="majorHAnsi"/>
        </w:rPr>
        <w:t>Additional feedback regarding progress and wider, more holistic engagement is provided via half-termly progress review meetings for each student, with subsequent targets agreed by students, parents and staff. These review meetings, along with continued and consistent communication with parents, are key to ensuring that opportunities to build success and sustained progress are maximised throughout.</w:t>
      </w:r>
    </w:p>
    <w:p w14:paraId="77F3CDA4" w14:textId="77777777" w:rsidR="009225CD" w:rsidRDefault="009225CD" w:rsidP="009225CD">
      <w:pPr>
        <w:pStyle w:val="NoSpacing"/>
        <w:jc w:val="center"/>
        <w:rPr>
          <w:rFonts w:ascii="Cambria" w:hAnsi="Cambria" w:cs="Tahoma"/>
          <w:b/>
          <w:bCs/>
          <w:sz w:val="24"/>
          <w:szCs w:val="24"/>
        </w:rPr>
      </w:pPr>
    </w:p>
    <w:p w14:paraId="5F2507C2" w14:textId="77777777" w:rsidR="009225CD" w:rsidRPr="00670051" w:rsidRDefault="009225CD" w:rsidP="009225CD">
      <w:pPr>
        <w:pStyle w:val="NoSpacing"/>
        <w:jc w:val="center"/>
        <w:rPr>
          <w:rFonts w:ascii="Cambria" w:hAnsi="Cambria" w:cs="Tahoma"/>
          <w:b/>
          <w:bCs/>
          <w:sz w:val="24"/>
          <w:szCs w:val="24"/>
        </w:rPr>
      </w:pPr>
      <w:r w:rsidRPr="00670051">
        <w:rPr>
          <w:rFonts w:ascii="Cambria" w:hAnsi="Cambria" w:cs="Tahoma"/>
          <w:b/>
          <w:bCs/>
          <w:sz w:val="24"/>
          <w:szCs w:val="24"/>
        </w:rPr>
        <w:t>Broadside Alternative Provision</w:t>
      </w:r>
    </w:p>
    <w:p w14:paraId="2AA78EFF" w14:textId="77777777" w:rsidR="009225CD" w:rsidRDefault="009225CD" w:rsidP="009225CD">
      <w:pPr>
        <w:pStyle w:val="NoSpacing"/>
        <w:jc w:val="center"/>
        <w:rPr>
          <w:rFonts w:ascii="Cambria" w:hAnsi="Cambria" w:cs="Tahoma"/>
          <w:b/>
          <w:bCs/>
          <w:sz w:val="24"/>
          <w:szCs w:val="24"/>
        </w:rPr>
      </w:pPr>
      <w:r w:rsidRPr="00670051">
        <w:rPr>
          <w:rFonts w:ascii="Cambria" w:hAnsi="Cambria" w:cs="Tahoma"/>
          <w:b/>
          <w:bCs/>
          <w:sz w:val="24"/>
          <w:szCs w:val="24"/>
        </w:rPr>
        <w:t xml:space="preserve">Curriculum </w:t>
      </w:r>
      <w:r>
        <w:rPr>
          <w:rFonts w:ascii="Cambria" w:hAnsi="Cambria" w:cs="Tahoma"/>
          <w:b/>
          <w:bCs/>
          <w:sz w:val="24"/>
          <w:szCs w:val="24"/>
        </w:rPr>
        <w:t>Design Map 2021-22</w:t>
      </w:r>
    </w:p>
    <w:p w14:paraId="7925873A" w14:textId="77777777" w:rsidR="009225CD" w:rsidRDefault="009225CD" w:rsidP="009225CD">
      <w:pPr>
        <w:pStyle w:val="NoSpacing"/>
        <w:jc w:val="center"/>
        <w:rPr>
          <w:rFonts w:ascii="Cambria" w:hAnsi="Cambria" w:cs="Tahoma"/>
          <w:b/>
          <w:bCs/>
          <w:sz w:val="24"/>
          <w:szCs w:val="24"/>
        </w:rPr>
      </w:pPr>
    </w:p>
    <w:tbl>
      <w:tblPr>
        <w:tblStyle w:val="TableGrid"/>
        <w:tblW w:w="0" w:type="auto"/>
        <w:tblLook w:val="04A0" w:firstRow="1" w:lastRow="0" w:firstColumn="1" w:lastColumn="0" w:noHBand="0" w:noVBand="1"/>
      </w:tblPr>
      <w:tblGrid>
        <w:gridCol w:w="796"/>
        <w:gridCol w:w="1732"/>
        <w:gridCol w:w="1395"/>
        <w:gridCol w:w="1583"/>
        <w:gridCol w:w="1776"/>
        <w:gridCol w:w="1734"/>
      </w:tblGrid>
      <w:tr w:rsidR="009225CD" w:rsidRPr="00670051" w14:paraId="33441163" w14:textId="77777777" w:rsidTr="001A01F2">
        <w:tc>
          <w:tcPr>
            <w:tcW w:w="1413" w:type="dxa"/>
          </w:tcPr>
          <w:p w14:paraId="2FC1BDEC" w14:textId="77777777" w:rsidR="009225CD" w:rsidRPr="00670051" w:rsidRDefault="009225CD" w:rsidP="001A01F2">
            <w:pPr>
              <w:pStyle w:val="NoSpacing"/>
              <w:jc w:val="center"/>
              <w:rPr>
                <w:rFonts w:ascii="Cambria" w:hAnsi="Cambria" w:cs="Tahoma"/>
                <w:b/>
                <w:bCs/>
                <w:sz w:val="24"/>
                <w:szCs w:val="24"/>
              </w:rPr>
            </w:pPr>
          </w:p>
        </w:tc>
        <w:tc>
          <w:tcPr>
            <w:tcW w:w="2507" w:type="dxa"/>
            <w:shd w:val="clear" w:color="auto" w:fill="B4C6E7" w:themeFill="accent1" w:themeFillTint="66"/>
          </w:tcPr>
          <w:p w14:paraId="369FD855" w14:textId="77777777" w:rsidR="009225CD" w:rsidRPr="00670051" w:rsidRDefault="009225CD" w:rsidP="001A01F2">
            <w:pPr>
              <w:pStyle w:val="NoSpacing"/>
              <w:jc w:val="center"/>
              <w:rPr>
                <w:rFonts w:ascii="Cambria" w:hAnsi="Cambria" w:cs="Tahoma"/>
                <w:b/>
                <w:bCs/>
                <w:sz w:val="24"/>
                <w:szCs w:val="24"/>
              </w:rPr>
            </w:pPr>
            <w:proofErr w:type="spellStart"/>
            <w:r w:rsidRPr="00670051">
              <w:rPr>
                <w:rFonts w:ascii="Cambria" w:hAnsi="Cambria" w:cs="Tahoma"/>
                <w:b/>
                <w:bCs/>
                <w:sz w:val="24"/>
                <w:szCs w:val="24"/>
              </w:rPr>
              <w:t>Self Management</w:t>
            </w:r>
            <w:proofErr w:type="spellEnd"/>
            <w:r w:rsidRPr="00670051">
              <w:rPr>
                <w:rFonts w:ascii="Cambria" w:hAnsi="Cambria" w:cs="Tahoma"/>
                <w:b/>
                <w:bCs/>
                <w:sz w:val="24"/>
                <w:szCs w:val="24"/>
              </w:rPr>
              <w:t xml:space="preserve"> &amp; Regulation</w:t>
            </w:r>
          </w:p>
        </w:tc>
        <w:tc>
          <w:tcPr>
            <w:tcW w:w="2507" w:type="dxa"/>
          </w:tcPr>
          <w:p w14:paraId="2D3B074D" w14:textId="77777777" w:rsidR="009225CD" w:rsidRPr="00670051" w:rsidRDefault="009225CD" w:rsidP="001A01F2">
            <w:pPr>
              <w:pStyle w:val="NoSpacing"/>
              <w:jc w:val="center"/>
              <w:rPr>
                <w:rFonts w:ascii="Cambria" w:hAnsi="Cambria" w:cs="Tahoma"/>
                <w:b/>
                <w:bCs/>
                <w:sz w:val="24"/>
                <w:szCs w:val="24"/>
              </w:rPr>
            </w:pPr>
            <w:r w:rsidRPr="00670051">
              <w:rPr>
                <w:rFonts w:ascii="Cambria" w:hAnsi="Cambria" w:cs="Tahoma"/>
                <w:b/>
                <w:bCs/>
                <w:sz w:val="24"/>
                <w:szCs w:val="24"/>
              </w:rPr>
              <w:t>Core Skills</w:t>
            </w:r>
          </w:p>
        </w:tc>
        <w:tc>
          <w:tcPr>
            <w:tcW w:w="2507" w:type="dxa"/>
            <w:shd w:val="clear" w:color="auto" w:fill="B4C6E7" w:themeFill="accent1" w:themeFillTint="66"/>
          </w:tcPr>
          <w:p w14:paraId="4C93E752" w14:textId="77777777" w:rsidR="009225CD" w:rsidRPr="00670051" w:rsidRDefault="009225CD" w:rsidP="001A01F2">
            <w:pPr>
              <w:pStyle w:val="NoSpacing"/>
              <w:jc w:val="center"/>
              <w:rPr>
                <w:rFonts w:ascii="Cambria" w:hAnsi="Cambria" w:cs="Tahoma"/>
                <w:b/>
                <w:bCs/>
                <w:sz w:val="24"/>
                <w:szCs w:val="24"/>
              </w:rPr>
            </w:pPr>
            <w:r>
              <w:rPr>
                <w:rFonts w:ascii="Cambria" w:hAnsi="Cambria" w:cs="Tahoma"/>
                <w:b/>
                <w:bCs/>
                <w:sz w:val="24"/>
                <w:szCs w:val="24"/>
              </w:rPr>
              <w:t xml:space="preserve">Core </w:t>
            </w:r>
            <w:r w:rsidRPr="00670051">
              <w:rPr>
                <w:rFonts w:ascii="Cambria" w:hAnsi="Cambria" w:cs="Tahoma"/>
                <w:b/>
                <w:bCs/>
                <w:sz w:val="24"/>
                <w:szCs w:val="24"/>
              </w:rPr>
              <w:t xml:space="preserve">Curriculum </w:t>
            </w:r>
          </w:p>
        </w:tc>
        <w:tc>
          <w:tcPr>
            <w:tcW w:w="2507" w:type="dxa"/>
          </w:tcPr>
          <w:p w14:paraId="611E002A" w14:textId="77777777" w:rsidR="009225CD" w:rsidRPr="00670051" w:rsidRDefault="009225CD" w:rsidP="001A01F2">
            <w:pPr>
              <w:pStyle w:val="NoSpacing"/>
              <w:jc w:val="center"/>
              <w:rPr>
                <w:rFonts w:ascii="Cambria" w:hAnsi="Cambria" w:cs="Tahoma"/>
                <w:b/>
                <w:bCs/>
                <w:sz w:val="24"/>
                <w:szCs w:val="24"/>
              </w:rPr>
            </w:pPr>
            <w:r w:rsidRPr="00670051">
              <w:rPr>
                <w:rFonts w:ascii="Cambria" w:hAnsi="Cambria" w:cs="Tahoma"/>
                <w:b/>
                <w:bCs/>
                <w:sz w:val="24"/>
                <w:szCs w:val="24"/>
              </w:rPr>
              <w:t>Personal Development &amp; Life Skills</w:t>
            </w:r>
          </w:p>
        </w:tc>
        <w:tc>
          <w:tcPr>
            <w:tcW w:w="2507" w:type="dxa"/>
            <w:shd w:val="clear" w:color="auto" w:fill="B4C6E7" w:themeFill="accent1" w:themeFillTint="66"/>
          </w:tcPr>
          <w:p w14:paraId="56F9411E" w14:textId="77777777" w:rsidR="009225CD" w:rsidRPr="00670051" w:rsidRDefault="009225CD" w:rsidP="001A01F2">
            <w:pPr>
              <w:pStyle w:val="NoSpacing"/>
              <w:jc w:val="center"/>
              <w:rPr>
                <w:rFonts w:ascii="Cambria" w:hAnsi="Cambria" w:cs="Tahoma"/>
                <w:b/>
                <w:bCs/>
                <w:sz w:val="24"/>
                <w:szCs w:val="24"/>
              </w:rPr>
            </w:pPr>
            <w:r w:rsidRPr="00670051">
              <w:rPr>
                <w:rFonts w:ascii="Cambria" w:hAnsi="Cambria" w:cs="Tahoma"/>
                <w:b/>
                <w:bCs/>
                <w:sz w:val="24"/>
                <w:szCs w:val="24"/>
              </w:rPr>
              <w:t>Curriculum</w:t>
            </w:r>
            <w:r>
              <w:rPr>
                <w:rFonts w:ascii="Cambria" w:hAnsi="Cambria" w:cs="Tahoma"/>
                <w:b/>
                <w:bCs/>
                <w:sz w:val="24"/>
                <w:szCs w:val="24"/>
              </w:rPr>
              <w:t xml:space="preserve"> Options</w:t>
            </w:r>
          </w:p>
        </w:tc>
      </w:tr>
      <w:tr w:rsidR="009225CD" w:rsidRPr="00670051" w14:paraId="737ED75D" w14:textId="77777777" w:rsidTr="001A01F2">
        <w:tc>
          <w:tcPr>
            <w:tcW w:w="1413" w:type="dxa"/>
          </w:tcPr>
          <w:p w14:paraId="555BD59C" w14:textId="77777777" w:rsidR="009225CD" w:rsidRDefault="009225CD" w:rsidP="001A01F2">
            <w:pPr>
              <w:pStyle w:val="NoSpacing"/>
              <w:jc w:val="center"/>
              <w:rPr>
                <w:rFonts w:ascii="Cambria" w:hAnsi="Cambria" w:cs="Tahoma"/>
                <w:b/>
                <w:bCs/>
                <w:sz w:val="24"/>
                <w:szCs w:val="24"/>
              </w:rPr>
            </w:pPr>
            <w:r>
              <w:rPr>
                <w:rFonts w:ascii="Cambria" w:hAnsi="Cambria" w:cs="Tahoma"/>
                <w:b/>
                <w:bCs/>
                <w:sz w:val="24"/>
                <w:szCs w:val="24"/>
              </w:rPr>
              <w:t>Year 7</w:t>
            </w:r>
          </w:p>
          <w:p w14:paraId="3F1EA8EC" w14:textId="77777777" w:rsidR="009225CD" w:rsidRPr="00670051" w:rsidRDefault="009225CD" w:rsidP="001A01F2">
            <w:pPr>
              <w:pStyle w:val="NoSpacing"/>
              <w:jc w:val="center"/>
              <w:rPr>
                <w:rFonts w:ascii="Cambria" w:hAnsi="Cambria" w:cs="Tahoma"/>
                <w:b/>
                <w:bCs/>
                <w:sz w:val="24"/>
                <w:szCs w:val="24"/>
              </w:rPr>
            </w:pPr>
          </w:p>
        </w:tc>
        <w:tc>
          <w:tcPr>
            <w:tcW w:w="2507" w:type="dxa"/>
            <w:vMerge w:val="restart"/>
            <w:shd w:val="clear" w:color="auto" w:fill="B4C6E7" w:themeFill="accent1" w:themeFillTint="66"/>
          </w:tcPr>
          <w:p w14:paraId="16434B1D"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 xml:space="preserve">EQ Programme </w:t>
            </w:r>
          </w:p>
          <w:p w14:paraId="2EA56829"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Community Circles</w:t>
            </w:r>
          </w:p>
          <w:p w14:paraId="1A99B175"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Targeted Mentoring</w:t>
            </w:r>
          </w:p>
          <w:p w14:paraId="153990B3"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PE</w:t>
            </w:r>
          </w:p>
          <w:p w14:paraId="5C70E989" w14:textId="77777777" w:rsidR="009225CD" w:rsidRPr="0044292A" w:rsidRDefault="009225CD" w:rsidP="001A01F2">
            <w:pPr>
              <w:pStyle w:val="NoSpacing"/>
              <w:jc w:val="center"/>
              <w:rPr>
                <w:rFonts w:ascii="Cambria" w:hAnsi="Cambria" w:cs="Tahoma"/>
                <w:sz w:val="24"/>
                <w:szCs w:val="24"/>
              </w:rPr>
            </w:pPr>
          </w:p>
          <w:p w14:paraId="72BC03AF" w14:textId="77777777" w:rsidR="009225CD" w:rsidRPr="0044292A" w:rsidRDefault="009225CD" w:rsidP="001A01F2">
            <w:pPr>
              <w:pStyle w:val="NoSpacing"/>
              <w:jc w:val="center"/>
              <w:rPr>
                <w:rFonts w:ascii="Cambria" w:hAnsi="Cambria" w:cs="Tahoma"/>
                <w:sz w:val="24"/>
                <w:szCs w:val="24"/>
              </w:rPr>
            </w:pPr>
          </w:p>
        </w:tc>
        <w:tc>
          <w:tcPr>
            <w:tcW w:w="2507" w:type="dxa"/>
            <w:vMerge w:val="restart"/>
          </w:tcPr>
          <w:p w14:paraId="31E64563"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Literacy</w:t>
            </w:r>
          </w:p>
          <w:p w14:paraId="6A00C7B2"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Numeracy</w:t>
            </w:r>
          </w:p>
          <w:p w14:paraId="3AF9E49C"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Oracy</w:t>
            </w:r>
          </w:p>
          <w:p w14:paraId="1FC4128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 xml:space="preserve">Computer Literacy/ ICT </w:t>
            </w:r>
            <w:r>
              <w:rPr>
                <w:rFonts w:ascii="Cambria" w:hAnsi="Cambria" w:cs="Tahoma"/>
                <w:sz w:val="24"/>
                <w:szCs w:val="24"/>
              </w:rPr>
              <w:t>Skills</w:t>
            </w:r>
          </w:p>
        </w:tc>
        <w:tc>
          <w:tcPr>
            <w:tcW w:w="2507" w:type="dxa"/>
            <w:vMerge w:val="restart"/>
            <w:shd w:val="clear" w:color="auto" w:fill="B4C6E7" w:themeFill="accent1" w:themeFillTint="66"/>
          </w:tcPr>
          <w:p w14:paraId="4008C247"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English</w:t>
            </w:r>
          </w:p>
          <w:p w14:paraId="2B11FED4"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Maths</w:t>
            </w:r>
          </w:p>
          <w:p w14:paraId="6C69C71B"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Science</w:t>
            </w:r>
          </w:p>
          <w:p w14:paraId="31084A93" w14:textId="77777777" w:rsidR="009225CD" w:rsidRDefault="009225CD" w:rsidP="001A01F2">
            <w:pPr>
              <w:pStyle w:val="NoSpacing"/>
              <w:jc w:val="center"/>
              <w:rPr>
                <w:rFonts w:ascii="Cambria" w:hAnsi="Cambria" w:cs="Tahoma"/>
                <w:sz w:val="24"/>
                <w:szCs w:val="24"/>
              </w:rPr>
            </w:pPr>
            <w:r w:rsidRPr="0044292A">
              <w:rPr>
                <w:rFonts w:ascii="Cambria" w:hAnsi="Cambria" w:cs="Tahoma"/>
                <w:sz w:val="24"/>
                <w:szCs w:val="24"/>
              </w:rPr>
              <w:t>PE</w:t>
            </w:r>
          </w:p>
          <w:p w14:paraId="2621B54E"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Aspiring Futures</w:t>
            </w:r>
          </w:p>
        </w:tc>
        <w:tc>
          <w:tcPr>
            <w:tcW w:w="2507" w:type="dxa"/>
            <w:vMerge w:val="restart"/>
          </w:tcPr>
          <w:p w14:paraId="76354B3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Community Circles</w:t>
            </w:r>
          </w:p>
          <w:p w14:paraId="7594AEE3"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Aspiring Futures</w:t>
            </w:r>
          </w:p>
          <w:p w14:paraId="6406362B"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PD Day Programme</w:t>
            </w:r>
          </w:p>
          <w:p w14:paraId="5D590BA0" w14:textId="77777777" w:rsidR="009225CD" w:rsidRPr="0044292A" w:rsidRDefault="009225CD" w:rsidP="001A01F2">
            <w:pPr>
              <w:pStyle w:val="NoSpacing"/>
              <w:jc w:val="center"/>
              <w:rPr>
                <w:rFonts w:ascii="Cambria" w:hAnsi="Cambria" w:cs="Tahoma"/>
                <w:sz w:val="24"/>
                <w:szCs w:val="24"/>
              </w:rPr>
            </w:pPr>
            <w:r>
              <w:rPr>
                <w:rFonts w:ascii="Cambria" w:hAnsi="Cambria" w:cs="Tahoma"/>
                <w:sz w:val="24"/>
                <w:szCs w:val="24"/>
              </w:rPr>
              <w:t>Home Cooking</w:t>
            </w:r>
          </w:p>
        </w:tc>
        <w:tc>
          <w:tcPr>
            <w:tcW w:w="2507" w:type="dxa"/>
            <w:vMerge w:val="restart"/>
            <w:shd w:val="clear" w:color="auto" w:fill="B4C6E7" w:themeFill="accent1" w:themeFillTint="66"/>
          </w:tcPr>
          <w:p w14:paraId="3C1FEA91" w14:textId="77777777" w:rsidR="009225CD" w:rsidRDefault="009225CD" w:rsidP="001A01F2">
            <w:pPr>
              <w:pStyle w:val="NoSpacing"/>
              <w:jc w:val="center"/>
              <w:rPr>
                <w:rFonts w:ascii="Cambria" w:hAnsi="Cambria" w:cs="Tahoma"/>
                <w:sz w:val="24"/>
                <w:szCs w:val="24"/>
              </w:rPr>
            </w:pPr>
            <w:r>
              <w:rPr>
                <w:rFonts w:ascii="Cambria" w:hAnsi="Cambria" w:cs="Tahoma"/>
                <w:sz w:val="24"/>
                <w:szCs w:val="24"/>
              </w:rPr>
              <w:t>Humanities</w:t>
            </w:r>
          </w:p>
          <w:p w14:paraId="2F7696AA" w14:textId="77777777" w:rsidR="009225CD" w:rsidRPr="0044292A" w:rsidRDefault="009225CD" w:rsidP="001A01F2">
            <w:pPr>
              <w:pStyle w:val="NoSpacing"/>
              <w:jc w:val="center"/>
              <w:rPr>
                <w:rFonts w:ascii="Cambria" w:hAnsi="Cambria" w:cs="Tahoma"/>
                <w:sz w:val="24"/>
                <w:szCs w:val="24"/>
              </w:rPr>
            </w:pPr>
            <w:r>
              <w:rPr>
                <w:rFonts w:ascii="Cambria" w:hAnsi="Cambria" w:cs="Tahoma"/>
                <w:sz w:val="24"/>
                <w:szCs w:val="24"/>
              </w:rPr>
              <w:t>Languages</w:t>
            </w:r>
          </w:p>
        </w:tc>
      </w:tr>
      <w:tr w:rsidR="009225CD" w:rsidRPr="00670051" w14:paraId="45DC8C3C" w14:textId="77777777" w:rsidTr="001A01F2">
        <w:tc>
          <w:tcPr>
            <w:tcW w:w="1413" w:type="dxa"/>
          </w:tcPr>
          <w:p w14:paraId="6419024B" w14:textId="77777777" w:rsidR="009225CD" w:rsidRDefault="009225CD" w:rsidP="001A01F2">
            <w:pPr>
              <w:pStyle w:val="NoSpacing"/>
              <w:jc w:val="center"/>
              <w:rPr>
                <w:rFonts w:ascii="Cambria" w:hAnsi="Cambria" w:cs="Tahoma"/>
                <w:b/>
                <w:bCs/>
                <w:sz w:val="24"/>
                <w:szCs w:val="24"/>
              </w:rPr>
            </w:pPr>
            <w:r>
              <w:rPr>
                <w:rFonts w:ascii="Cambria" w:hAnsi="Cambria" w:cs="Tahoma"/>
                <w:b/>
                <w:bCs/>
                <w:sz w:val="24"/>
                <w:szCs w:val="24"/>
              </w:rPr>
              <w:t>Year 8</w:t>
            </w:r>
          </w:p>
          <w:p w14:paraId="2E79ECA9" w14:textId="77777777" w:rsidR="009225CD" w:rsidRPr="00670051" w:rsidRDefault="009225CD" w:rsidP="001A01F2">
            <w:pPr>
              <w:pStyle w:val="NoSpacing"/>
              <w:jc w:val="center"/>
              <w:rPr>
                <w:rFonts w:ascii="Cambria" w:hAnsi="Cambria" w:cs="Tahoma"/>
                <w:b/>
                <w:bCs/>
                <w:sz w:val="24"/>
                <w:szCs w:val="24"/>
              </w:rPr>
            </w:pPr>
          </w:p>
        </w:tc>
        <w:tc>
          <w:tcPr>
            <w:tcW w:w="2507" w:type="dxa"/>
            <w:vMerge/>
            <w:shd w:val="clear" w:color="auto" w:fill="B4C6E7" w:themeFill="accent1" w:themeFillTint="66"/>
          </w:tcPr>
          <w:p w14:paraId="1678DB13" w14:textId="77777777" w:rsidR="009225CD" w:rsidRPr="0044292A" w:rsidRDefault="009225CD" w:rsidP="001A01F2">
            <w:pPr>
              <w:pStyle w:val="NoSpacing"/>
              <w:jc w:val="center"/>
              <w:rPr>
                <w:rFonts w:ascii="Cambria" w:hAnsi="Cambria" w:cs="Tahoma"/>
                <w:sz w:val="24"/>
                <w:szCs w:val="24"/>
              </w:rPr>
            </w:pPr>
          </w:p>
        </w:tc>
        <w:tc>
          <w:tcPr>
            <w:tcW w:w="2507" w:type="dxa"/>
            <w:vMerge/>
          </w:tcPr>
          <w:p w14:paraId="35792CEA" w14:textId="77777777" w:rsidR="009225CD" w:rsidRPr="0044292A" w:rsidRDefault="009225CD" w:rsidP="001A01F2">
            <w:pPr>
              <w:pStyle w:val="NoSpacing"/>
              <w:jc w:val="center"/>
              <w:rPr>
                <w:rFonts w:ascii="Cambria" w:hAnsi="Cambria" w:cs="Tahoma"/>
                <w:sz w:val="24"/>
                <w:szCs w:val="24"/>
              </w:rPr>
            </w:pPr>
          </w:p>
        </w:tc>
        <w:tc>
          <w:tcPr>
            <w:tcW w:w="2507" w:type="dxa"/>
            <w:vMerge/>
            <w:shd w:val="clear" w:color="auto" w:fill="B4C6E7" w:themeFill="accent1" w:themeFillTint="66"/>
          </w:tcPr>
          <w:p w14:paraId="04BCCBA7" w14:textId="77777777" w:rsidR="009225CD" w:rsidRPr="0044292A" w:rsidRDefault="009225CD" w:rsidP="001A01F2">
            <w:pPr>
              <w:pStyle w:val="NoSpacing"/>
              <w:jc w:val="center"/>
              <w:rPr>
                <w:rFonts w:ascii="Cambria" w:hAnsi="Cambria" w:cs="Tahoma"/>
                <w:sz w:val="24"/>
                <w:szCs w:val="24"/>
              </w:rPr>
            </w:pPr>
          </w:p>
        </w:tc>
        <w:tc>
          <w:tcPr>
            <w:tcW w:w="2507" w:type="dxa"/>
            <w:vMerge/>
          </w:tcPr>
          <w:p w14:paraId="59DD7373" w14:textId="77777777" w:rsidR="009225CD" w:rsidRPr="0044292A" w:rsidRDefault="009225CD" w:rsidP="001A01F2">
            <w:pPr>
              <w:pStyle w:val="NoSpacing"/>
              <w:jc w:val="center"/>
              <w:rPr>
                <w:rFonts w:ascii="Cambria" w:hAnsi="Cambria" w:cs="Tahoma"/>
                <w:sz w:val="24"/>
                <w:szCs w:val="24"/>
              </w:rPr>
            </w:pPr>
          </w:p>
        </w:tc>
        <w:tc>
          <w:tcPr>
            <w:tcW w:w="2507" w:type="dxa"/>
            <w:vMerge/>
            <w:shd w:val="clear" w:color="auto" w:fill="B4C6E7" w:themeFill="accent1" w:themeFillTint="66"/>
          </w:tcPr>
          <w:p w14:paraId="1FA2DBF2" w14:textId="77777777" w:rsidR="009225CD" w:rsidRPr="0044292A" w:rsidRDefault="009225CD" w:rsidP="001A01F2">
            <w:pPr>
              <w:pStyle w:val="NoSpacing"/>
              <w:jc w:val="center"/>
              <w:rPr>
                <w:rFonts w:ascii="Cambria" w:hAnsi="Cambria" w:cs="Tahoma"/>
                <w:sz w:val="24"/>
                <w:szCs w:val="24"/>
              </w:rPr>
            </w:pPr>
          </w:p>
        </w:tc>
      </w:tr>
      <w:tr w:rsidR="009225CD" w:rsidRPr="00670051" w14:paraId="0528F045" w14:textId="77777777" w:rsidTr="001A01F2">
        <w:tc>
          <w:tcPr>
            <w:tcW w:w="1413" w:type="dxa"/>
          </w:tcPr>
          <w:p w14:paraId="38FCB1EA" w14:textId="77777777" w:rsidR="009225CD" w:rsidRPr="00670051" w:rsidRDefault="009225CD" w:rsidP="001A01F2">
            <w:pPr>
              <w:pStyle w:val="NoSpacing"/>
              <w:jc w:val="center"/>
              <w:rPr>
                <w:rFonts w:ascii="Cambria" w:hAnsi="Cambria" w:cs="Tahoma"/>
                <w:b/>
                <w:bCs/>
                <w:sz w:val="24"/>
                <w:szCs w:val="24"/>
              </w:rPr>
            </w:pPr>
            <w:r>
              <w:rPr>
                <w:rFonts w:ascii="Cambria" w:hAnsi="Cambria" w:cs="Tahoma"/>
                <w:b/>
                <w:bCs/>
                <w:sz w:val="24"/>
                <w:szCs w:val="24"/>
              </w:rPr>
              <w:t xml:space="preserve">Year 9 </w:t>
            </w:r>
          </w:p>
        </w:tc>
        <w:tc>
          <w:tcPr>
            <w:tcW w:w="2507" w:type="dxa"/>
            <w:shd w:val="clear" w:color="auto" w:fill="B4C6E7" w:themeFill="accent1" w:themeFillTint="66"/>
          </w:tcPr>
          <w:p w14:paraId="514228DC"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 xml:space="preserve">EQ Programme </w:t>
            </w:r>
          </w:p>
          <w:p w14:paraId="72266B5E"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Community Circles</w:t>
            </w:r>
          </w:p>
          <w:p w14:paraId="46F1E11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Targeted Mentoring</w:t>
            </w:r>
          </w:p>
          <w:p w14:paraId="4856325C"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PE</w:t>
            </w:r>
          </w:p>
          <w:p w14:paraId="2DD6D3EE" w14:textId="77777777" w:rsidR="009225CD" w:rsidRPr="0044292A" w:rsidRDefault="009225CD" w:rsidP="001A01F2">
            <w:pPr>
              <w:pStyle w:val="NoSpacing"/>
              <w:jc w:val="center"/>
              <w:rPr>
                <w:rFonts w:ascii="Cambria" w:hAnsi="Cambria" w:cs="Tahoma"/>
                <w:sz w:val="24"/>
                <w:szCs w:val="24"/>
              </w:rPr>
            </w:pPr>
          </w:p>
        </w:tc>
        <w:tc>
          <w:tcPr>
            <w:tcW w:w="2507" w:type="dxa"/>
          </w:tcPr>
          <w:p w14:paraId="258D2981"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Literacy</w:t>
            </w:r>
          </w:p>
          <w:p w14:paraId="337DFDC0"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Numeracy</w:t>
            </w:r>
          </w:p>
          <w:p w14:paraId="037C77F5"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Oracy</w:t>
            </w:r>
          </w:p>
          <w:p w14:paraId="5912B73D"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Computer Literacy/ ICT</w:t>
            </w:r>
            <w:r>
              <w:rPr>
                <w:rFonts w:ascii="Cambria" w:hAnsi="Cambria" w:cs="Tahoma"/>
                <w:sz w:val="24"/>
                <w:szCs w:val="24"/>
              </w:rPr>
              <w:t xml:space="preserve"> Skills</w:t>
            </w:r>
          </w:p>
        </w:tc>
        <w:tc>
          <w:tcPr>
            <w:tcW w:w="2507" w:type="dxa"/>
            <w:shd w:val="clear" w:color="auto" w:fill="B4C6E7" w:themeFill="accent1" w:themeFillTint="66"/>
          </w:tcPr>
          <w:p w14:paraId="3E0C72B5"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English</w:t>
            </w:r>
          </w:p>
          <w:p w14:paraId="7E995188"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Maths</w:t>
            </w:r>
          </w:p>
          <w:p w14:paraId="5AD9CF0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Science</w:t>
            </w:r>
          </w:p>
          <w:p w14:paraId="70E947A4" w14:textId="77777777" w:rsidR="009225CD" w:rsidRDefault="009225CD" w:rsidP="001A01F2">
            <w:pPr>
              <w:pStyle w:val="NoSpacing"/>
              <w:jc w:val="center"/>
              <w:rPr>
                <w:rFonts w:ascii="Cambria" w:hAnsi="Cambria" w:cs="Tahoma"/>
                <w:sz w:val="24"/>
                <w:szCs w:val="24"/>
              </w:rPr>
            </w:pPr>
            <w:r w:rsidRPr="0044292A">
              <w:rPr>
                <w:rFonts w:ascii="Cambria" w:hAnsi="Cambria" w:cs="Tahoma"/>
                <w:sz w:val="24"/>
                <w:szCs w:val="24"/>
              </w:rPr>
              <w:t>PE</w:t>
            </w:r>
          </w:p>
          <w:p w14:paraId="406E4C93"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Aspiring Futures</w:t>
            </w:r>
          </w:p>
        </w:tc>
        <w:tc>
          <w:tcPr>
            <w:tcW w:w="2507" w:type="dxa"/>
          </w:tcPr>
          <w:p w14:paraId="627C6FC1"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Community Circles</w:t>
            </w:r>
          </w:p>
          <w:p w14:paraId="5AD81C79"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Aspiring Futures</w:t>
            </w:r>
          </w:p>
          <w:p w14:paraId="2FC9343C"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Applied Academics</w:t>
            </w:r>
          </w:p>
          <w:p w14:paraId="54E5B950"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PD Day Programme</w:t>
            </w:r>
          </w:p>
          <w:p w14:paraId="0C0311E6" w14:textId="77777777" w:rsidR="009225CD" w:rsidRPr="0044292A" w:rsidRDefault="009225CD" w:rsidP="001A01F2">
            <w:pPr>
              <w:pStyle w:val="NoSpacing"/>
              <w:jc w:val="center"/>
              <w:rPr>
                <w:rFonts w:ascii="Cambria" w:hAnsi="Cambria" w:cs="Tahoma"/>
                <w:sz w:val="24"/>
                <w:szCs w:val="24"/>
              </w:rPr>
            </w:pPr>
            <w:r>
              <w:rPr>
                <w:rFonts w:ascii="Cambria" w:hAnsi="Cambria" w:cs="Tahoma"/>
                <w:sz w:val="24"/>
                <w:szCs w:val="24"/>
              </w:rPr>
              <w:t>Home Cooking</w:t>
            </w:r>
          </w:p>
        </w:tc>
        <w:tc>
          <w:tcPr>
            <w:tcW w:w="2507" w:type="dxa"/>
            <w:shd w:val="clear" w:color="auto" w:fill="B4C6E7" w:themeFill="accent1" w:themeFillTint="66"/>
          </w:tcPr>
          <w:p w14:paraId="6CD2643E" w14:textId="77777777" w:rsidR="009225CD" w:rsidRDefault="009225CD" w:rsidP="001A01F2">
            <w:pPr>
              <w:pStyle w:val="NoSpacing"/>
              <w:jc w:val="center"/>
              <w:rPr>
                <w:rFonts w:ascii="Cambria" w:hAnsi="Cambria" w:cs="Tahoma"/>
                <w:sz w:val="24"/>
                <w:szCs w:val="24"/>
              </w:rPr>
            </w:pPr>
            <w:r w:rsidRPr="0044292A">
              <w:rPr>
                <w:rFonts w:ascii="Cambria" w:hAnsi="Cambria" w:cs="Tahoma"/>
                <w:sz w:val="24"/>
                <w:szCs w:val="24"/>
              </w:rPr>
              <w:t>Option Pathway Choices</w:t>
            </w:r>
          </w:p>
          <w:p w14:paraId="5E5C877F" w14:textId="77777777" w:rsidR="009225CD" w:rsidRDefault="009225CD" w:rsidP="001A01F2">
            <w:pPr>
              <w:pStyle w:val="NoSpacing"/>
              <w:jc w:val="center"/>
              <w:rPr>
                <w:rFonts w:ascii="Cambria" w:hAnsi="Cambria" w:cs="Tahoma"/>
                <w:sz w:val="24"/>
                <w:szCs w:val="24"/>
              </w:rPr>
            </w:pPr>
            <w:r>
              <w:rPr>
                <w:rFonts w:ascii="Cambria" w:hAnsi="Cambria" w:cs="Tahoma"/>
                <w:sz w:val="24"/>
                <w:szCs w:val="24"/>
              </w:rPr>
              <w:t>Humanities</w:t>
            </w:r>
          </w:p>
          <w:p w14:paraId="1EC6FF69"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Applied Academics</w:t>
            </w:r>
          </w:p>
          <w:p w14:paraId="534124AD" w14:textId="77777777" w:rsidR="009225CD" w:rsidRPr="0044292A" w:rsidRDefault="009225CD" w:rsidP="001A01F2">
            <w:pPr>
              <w:pStyle w:val="NoSpacing"/>
              <w:jc w:val="center"/>
              <w:rPr>
                <w:rFonts w:ascii="Cambria" w:hAnsi="Cambria" w:cs="Tahoma"/>
                <w:sz w:val="24"/>
                <w:szCs w:val="24"/>
              </w:rPr>
            </w:pPr>
          </w:p>
        </w:tc>
      </w:tr>
      <w:tr w:rsidR="009225CD" w:rsidRPr="00670051" w14:paraId="3CD765E4" w14:textId="77777777" w:rsidTr="001A01F2">
        <w:tc>
          <w:tcPr>
            <w:tcW w:w="1413" w:type="dxa"/>
          </w:tcPr>
          <w:p w14:paraId="0E963E5E" w14:textId="77777777" w:rsidR="009225CD" w:rsidRDefault="009225CD" w:rsidP="001A01F2">
            <w:pPr>
              <w:pStyle w:val="NoSpacing"/>
              <w:jc w:val="center"/>
              <w:rPr>
                <w:rFonts w:ascii="Cambria" w:hAnsi="Cambria" w:cs="Tahoma"/>
                <w:b/>
                <w:bCs/>
                <w:sz w:val="24"/>
                <w:szCs w:val="24"/>
              </w:rPr>
            </w:pPr>
            <w:r>
              <w:rPr>
                <w:rFonts w:ascii="Cambria" w:hAnsi="Cambria" w:cs="Tahoma"/>
                <w:b/>
                <w:bCs/>
                <w:sz w:val="24"/>
                <w:szCs w:val="24"/>
              </w:rPr>
              <w:t>Year 10</w:t>
            </w:r>
          </w:p>
          <w:p w14:paraId="34E35193" w14:textId="77777777" w:rsidR="009225CD" w:rsidRPr="00670051" w:rsidRDefault="009225CD" w:rsidP="001A01F2">
            <w:pPr>
              <w:pStyle w:val="NoSpacing"/>
              <w:jc w:val="center"/>
              <w:rPr>
                <w:rFonts w:ascii="Cambria" w:hAnsi="Cambria" w:cs="Tahoma"/>
                <w:b/>
                <w:bCs/>
                <w:sz w:val="24"/>
                <w:szCs w:val="24"/>
              </w:rPr>
            </w:pPr>
          </w:p>
        </w:tc>
        <w:tc>
          <w:tcPr>
            <w:tcW w:w="2507" w:type="dxa"/>
            <w:vMerge w:val="restart"/>
            <w:shd w:val="clear" w:color="auto" w:fill="B4C6E7" w:themeFill="accent1" w:themeFillTint="66"/>
          </w:tcPr>
          <w:p w14:paraId="0FBD3B70"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 xml:space="preserve">EQ Programme </w:t>
            </w:r>
          </w:p>
          <w:p w14:paraId="699DF2A7"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Community Circles</w:t>
            </w:r>
          </w:p>
          <w:p w14:paraId="6B72EEF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Targeted Mentoring</w:t>
            </w:r>
          </w:p>
          <w:p w14:paraId="33478FEB"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RSE Programme</w:t>
            </w:r>
          </w:p>
          <w:p w14:paraId="5B68F7C5"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PE</w:t>
            </w:r>
          </w:p>
          <w:p w14:paraId="64F632C1" w14:textId="77777777" w:rsidR="009225CD" w:rsidRPr="0044292A" w:rsidRDefault="009225CD" w:rsidP="001A01F2">
            <w:pPr>
              <w:pStyle w:val="NoSpacing"/>
              <w:jc w:val="center"/>
              <w:rPr>
                <w:rFonts w:ascii="Cambria" w:hAnsi="Cambria" w:cs="Tahoma"/>
                <w:sz w:val="24"/>
                <w:szCs w:val="24"/>
              </w:rPr>
            </w:pPr>
          </w:p>
          <w:p w14:paraId="54060F6C" w14:textId="77777777" w:rsidR="009225CD" w:rsidRPr="0044292A" w:rsidRDefault="009225CD" w:rsidP="001A01F2">
            <w:pPr>
              <w:pStyle w:val="NoSpacing"/>
              <w:jc w:val="center"/>
              <w:rPr>
                <w:rFonts w:ascii="Cambria" w:hAnsi="Cambria" w:cs="Tahoma"/>
                <w:sz w:val="24"/>
                <w:szCs w:val="24"/>
              </w:rPr>
            </w:pPr>
          </w:p>
        </w:tc>
        <w:tc>
          <w:tcPr>
            <w:tcW w:w="2507" w:type="dxa"/>
            <w:vMerge w:val="restart"/>
          </w:tcPr>
          <w:p w14:paraId="078A7F00"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Literacy</w:t>
            </w:r>
          </w:p>
          <w:p w14:paraId="6736D187"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Numeracy</w:t>
            </w:r>
          </w:p>
          <w:p w14:paraId="3D112087"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Oracy</w:t>
            </w:r>
          </w:p>
          <w:p w14:paraId="5519B7E1"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Computer Literacy/ ICT</w:t>
            </w:r>
            <w:r>
              <w:rPr>
                <w:rFonts w:ascii="Cambria" w:hAnsi="Cambria" w:cs="Tahoma"/>
                <w:sz w:val="24"/>
                <w:szCs w:val="24"/>
              </w:rPr>
              <w:t xml:space="preserve"> Skills</w:t>
            </w:r>
          </w:p>
        </w:tc>
        <w:tc>
          <w:tcPr>
            <w:tcW w:w="2507" w:type="dxa"/>
            <w:vMerge w:val="restart"/>
            <w:shd w:val="clear" w:color="auto" w:fill="B4C6E7" w:themeFill="accent1" w:themeFillTint="66"/>
          </w:tcPr>
          <w:p w14:paraId="56B00E99"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English</w:t>
            </w:r>
          </w:p>
          <w:p w14:paraId="3B2CF7F2"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Maths</w:t>
            </w:r>
          </w:p>
          <w:p w14:paraId="4730DC20"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Science</w:t>
            </w:r>
          </w:p>
          <w:p w14:paraId="38798FF7" w14:textId="77777777" w:rsidR="009225CD" w:rsidRDefault="009225CD" w:rsidP="001A01F2">
            <w:pPr>
              <w:pStyle w:val="NoSpacing"/>
              <w:jc w:val="center"/>
              <w:rPr>
                <w:rFonts w:ascii="Cambria" w:hAnsi="Cambria" w:cs="Tahoma"/>
                <w:sz w:val="24"/>
                <w:szCs w:val="24"/>
              </w:rPr>
            </w:pPr>
            <w:r w:rsidRPr="0044292A">
              <w:rPr>
                <w:rFonts w:ascii="Cambria" w:hAnsi="Cambria" w:cs="Tahoma"/>
                <w:sz w:val="24"/>
                <w:szCs w:val="24"/>
              </w:rPr>
              <w:t>PE</w:t>
            </w:r>
          </w:p>
          <w:p w14:paraId="2A94D67E"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Aspiring Futures</w:t>
            </w:r>
          </w:p>
          <w:p w14:paraId="2AF5587F" w14:textId="77777777" w:rsidR="009225CD" w:rsidRPr="0044292A" w:rsidRDefault="009225CD" w:rsidP="001A01F2">
            <w:pPr>
              <w:pStyle w:val="NoSpacing"/>
              <w:jc w:val="center"/>
              <w:rPr>
                <w:rFonts w:ascii="Cambria" w:hAnsi="Cambria" w:cs="Tahoma"/>
                <w:sz w:val="24"/>
                <w:szCs w:val="24"/>
              </w:rPr>
            </w:pPr>
          </w:p>
        </w:tc>
        <w:tc>
          <w:tcPr>
            <w:tcW w:w="2507" w:type="dxa"/>
            <w:vMerge w:val="restart"/>
          </w:tcPr>
          <w:p w14:paraId="2150C6D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Community Circles</w:t>
            </w:r>
          </w:p>
          <w:p w14:paraId="32EA1E79"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Aspiring Futures</w:t>
            </w:r>
          </w:p>
          <w:p w14:paraId="5A9FCA0B"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Applied Academics</w:t>
            </w:r>
          </w:p>
          <w:p w14:paraId="3F16E9C7"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RSE Programme</w:t>
            </w:r>
          </w:p>
          <w:p w14:paraId="6D1352B4"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PD Day Programme</w:t>
            </w:r>
          </w:p>
          <w:p w14:paraId="1958B44F" w14:textId="77777777" w:rsidR="009225CD" w:rsidRPr="0044292A" w:rsidRDefault="009225CD" w:rsidP="001A01F2">
            <w:pPr>
              <w:pStyle w:val="NoSpacing"/>
              <w:jc w:val="center"/>
              <w:rPr>
                <w:rFonts w:ascii="Cambria" w:hAnsi="Cambria" w:cs="Tahoma"/>
                <w:sz w:val="24"/>
                <w:szCs w:val="24"/>
              </w:rPr>
            </w:pPr>
            <w:r>
              <w:rPr>
                <w:rFonts w:ascii="Cambria" w:hAnsi="Cambria" w:cs="Tahoma"/>
                <w:sz w:val="24"/>
                <w:szCs w:val="24"/>
              </w:rPr>
              <w:t>Home Cooking</w:t>
            </w:r>
          </w:p>
        </w:tc>
        <w:tc>
          <w:tcPr>
            <w:tcW w:w="2507" w:type="dxa"/>
            <w:vMerge w:val="restart"/>
            <w:shd w:val="clear" w:color="auto" w:fill="B4C6E7" w:themeFill="accent1" w:themeFillTint="66"/>
          </w:tcPr>
          <w:p w14:paraId="7B0A0A58" w14:textId="77777777" w:rsidR="009225CD" w:rsidRDefault="009225CD" w:rsidP="001A01F2">
            <w:pPr>
              <w:pStyle w:val="NoSpacing"/>
              <w:jc w:val="center"/>
              <w:rPr>
                <w:rFonts w:ascii="Cambria" w:hAnsi="Cambria" w:cs="Tahoma"/>
                <w:sz w:val="24"/>
                <w:szCs w:val="24"/>
              </w:rPr>
            </w:pPr>
            <w:r w:rsidRPr="0044292A">
              <w:rPr>
                <w:rFonts w:ascii="Cambria" w:hAnsi="Cambria" w:cs="Tahoma"/>
                <w:sz w:val="24"/>
                <w:szCs w:val="24"/>
              </w:rPr>
              <w:lastRenderedPageBreak/>
              <w:t>Option Pathway Choices</w:t>
            </w:r>
          </w:p>
          <w:p w14:paraId="4B3BD565" w14:textId="77777777" w:rsidR="009225CD" w:rsidRDefault="009225CD" w:rsidP="001A01F2">
            <w:pPr>
              <w:pStyle w:val="NoSpacing"/>
              <w:jc w:val="center"/>
              <w:rPr>
                <w:rFonts w:ascii="Cambria" w:hAnsi="Cambria" w:cs="Tahoma"/>
                <w:sz w:val="24"/>
                <w:szCs w:val="24"/>
              </w:rPr>
            </w:pPr>
            <w:r>
              <w:rPr>
                <w:rFonts w:ascii="Cambria" w:hAnsi="Cambria" w:cs="Tahoma"/>
                <w:sz w:val="24"/>
                <w:szCs w:val="24"/>
              </w:rPr>
              <w:t>Humanities</w:t>
            </w:r>
          </w:p>
          <w:p w14:paraId="51764E3F"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Applied Academics</w:t>
            </w:r>
          </w:p>
          <w:p w14:paraId="42A49676"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Work Placement</w:t>
            </w:r>
          </w:p>
          <w:p w14:paraId="3F2D02F6" w14:textId="77777777" w:rsidR="009225CD" w:rsidRPr="0044292A" w:rsidRDefault="009225CD" w:rsidP="001A01F2">
            <w:pPr>
              <w:pStyle w:val="NoSpacing"/>
              <w:jc w:val="center"/>
              <w:rPr>
                <w:rFonts w:ascii="Cambria" w:hAnsi="Cambria" w:cs="Tahoma"/>
                <w:sz w:val="24"/>
                <w:szCs w:val="24"/>
              </w:rPr>
            </w:pPr>
            <w:r w:rsidRPr="0044292A">
              <w:rPr>
                <w:rFonts w:ascii="Cambria" w:hAnsi="Cambria" w:cs="Tahoma"/>
                <w:sz w:val="24"/>
                <w:szCs w:val="24"/>
              </w:rPr>
              <w:t>Vocational Opportunities</w:t>
            </w:r>
          </w:p>
        </w:tc>
      </w:tr>
      <w:tr w:rsidR="009225CD" w:rsidRPr="00670051" w14:paraId="24CCD25E" w14:textId="77777777" w:rsidTr="001A01F2">
        <w:tc>
          <w:tcPr>
            <w:tcW w:w="1413" w:type="dxa"/>
          </w:tcPr>
          <w:p w14:paraId="2E6CC375" w14:textId="77777777" w:rsidR="009225CD" w:rsidRDefault="009225CD" w:rsidP="001A01F2">
            <w:pPr>
              <w:pStyle w:val="NoSpacing"/>
              <w:jc w:val="center"/>
              <w:rPr>
                <w:rFonts w:ascii="Cambria" w:hAnsi="Cambria" w:cs="Tahoma"/>
                <w:b/>
                <w:bCs/>
                <w:sz w:val="24"/>
                <w:szCs w:val="24"/>
              </w:rPr>
            </w:pPr>
            <w:r>
              <w:rPr>
                <w:rFonts w:ascii="Cambria" w:hAnsi="Cambria" w:cs="Tahoma"/>
                <w:b/>
                <w:bCs/>
                <w:sz w:val="24"/>
                <w:szCs w:val="24"/>
              </w:rPr>
              <w:t xml:space="preserve">Year 11 </w:t>
            </w:r>
          </w:p>
        </w:tc>
        <w:tc>
          <w:tcPr>
            <w:tcW w:w="2507" w:type="dxa"/>
            <w:vMerge/>
            <w:shd w:val="clear" w:color="auto" w:fill="B4C6E7" w:themeFill="accent1" w:themeFillTint="66"/>
          </w:tcPr>
          <w:p w14:paraId="1D931B00" w14:textId="77777777" w:rsidR="009225CD" w:rsidRPr="00670051" w:rsidRDefault="009225CD" w:rsidP="001A01F2">
            <w:pPr>
              <w:pStyle w:val="NoSpacing"/>
              <w:jc w:val="center"/>
              <w:rPr>
                <w:rFonts w:ascii="Cambria" w:hAnsi="Cambria" w:cs="Tahoma"/>
                <w:b/>
                <w:bCs/>
                <w:sz w:val="24"/>
                <w:szCs w:val="24"/>
              </w:rPr>
            </w:pPr>
          </w:p>
        </w:tc>
        <w:tc>
          <w:tcPr>
            <w:tcW w:w="2507" w:type="dxa"/>
            <w:vMerge/>
          </w:tcPr>
          <w:p w14:paraId="2F7F8B05" w14:textId="77777777" w:rsidR="009225CD" w:rsidRPr="00670051" w:rsidRDefault="009225CD" w:rsidP="001A01F2">
            <w:pPr>
              <w:pStyle w:val="NoSpacing"/>
              <w:jc w:val="center"/>
              <w:rPr>
                <w:rFonts w:ascii="Cambria" w:hAnsi="Cambria" w:cs="Tahoma"/>
                <w:b/>
                <w:bCs/>
                <w:sz w:val="24"/>
                <w:szCs w:val="24"/>
              </w:rPr>
            </w:pPr>
          </w:p>
        </w:tc>
        <w:tc>
          <w:tcPr>
            <w:tcW w:w="2507" w:type="dxa"/>
            <w:vMerge/>
            <w:shd w:val="clear" w:color="auto" w:fill="B4C6E7" w:themeFill="accent1" w:themeFillTint="66"/>
          </w:tcPr>
          <w:p w14:paraId="4B050540" w14:textId="77777777" w:rsidR="009225CD" w:rsidRPr="00670051" w:rsidRDefault="009225CD" w:rsidP="001A01F2">
            <w:pPr>
              <w:pStyle w:val="NoSpacing"/>
              <w:jc w:val="center"/>
              <w:rPr>
                <w:rFonts w:ascii="Cambria" w:hAnsi="Cambria" w:cs="Tahoma"/>
                <w:b/>
                <w:bCs/>
                <w:sz w:val="24"/>
                <w:szCs w:val="24"/>
              </w:rPr>
            </w:pPr>
          </w:p>
        </w:tc>
        <w:tc>
          <w:tcPr>
            <w:tcW w:w="2507" w:type="dxa"/>
            <w:vMerge/>
          </w:tcPr>
          <w:p w14:paraId="1AA73833" w14:textId="77777777" w:rsidR="009225CD" w:rsidRPr="00670051" w:rsidRDefault="009225CD" w:rsidP="001A01F2">
            <w:pPr>
              <w:pStyle w:val="NoSpacing"/>
              <w:jc w:val="center"/>
              <w:rPr>
                <w:rFonts w:ascii="Cambria" w:hAnsi="Cambria" w:cs="Tahoma"/>
                <w:b/>
                <w:bCs/>
                <w:sz w:val="24"/>
                <w:szCs w:val="24"/>
              </w:rPr>
            </w:pPr>
          </w:p>
        </w:tc>
        <w:tc>
          <w:tcPr>
            <w:tcW w:w="2507" w:type="dxa"/>
            <w:vMerge/>
            <w:shd w:val="clear" w:color="auto" w:fill="B4C6E7" w:themeFill="accent1" w:themeFillTint="66"/>
          </w:tcPr>
          <w:p w14:paraId="1C23CF1A" w14:textId="77777777" w:rsidR="009225CD" w:rsidRPr="00670051" w:rsidRDefault="009225CD" w:rsidP="001A01F2">
            <w:pPr>
              <w:pStyle w:val="NoSpacing"/>
              <w:jc w:val="center"/>
              <w:rPr>
                <w:rFonts w:ascii="Cambria" w:hAnsi="Cambria" w:cs="Tahoma"/>
                <w:b/>
                <w:bCs/>
                <w:sz w:val="24"/>
                <w:szCs w:val="24"/>
              </w:rPr>
            </w:pPr>
          </w:p>
        </w:tc>
      </w:tr>
    </w:tbl>
    <w:p w14:paraId="60AF2348" w14:textId="77777777" w:rsidR="009225CD" w:rsidRPr="00670051" w:rsidRDefault="009225CD" w:rsidP="009225CD">
      <w:pPr>
        <w:pStyle w:val="NoSpacing"/>
        <w:jc w:val="center"/>
        <w:rPr>
          <w:rFonts w:ascii="Tahoma" w:hAnsi="Tahoma" w:cs="Tahoma"/>
          <w:b/>
          <w:bCs/>
          <w:sz w:val="24"/>
          <w:szCs w:val="24"/>
        </w:rPr>
      </w:pPr>
    </w:p>
    <w:p w14:paraId="39E977C5" w14:textId="77777777" w:rsidR="009225CD" w:rsidRPr="00670051" w:rsidRDefault="009225CD" w:rsidP="009225CD">
      <w:pPr>
        <w:pStyle w:val="NoSpacing"/>
        <w:rPr>
          <w:rFonts w:ascii="Tahoma" w:hAnsi="Tahoma" w:cs="Tahoma"/>
        </w:rPr>
      </w:pPr>
    </w:p>
    <w:p w14:paraId="4CA488A6" w14:textId="77777777" w:rsidR="00000000" w:rsidRDefault="009225CD" w:rsidP="009225CD">
      <w:r>
        <w:br w:type="page"/>
      </w:r>
    </w:p>
    <w:sectPr w:rsidR="00016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CD"/>
    <w:rsid w:val="002A6268"/>
    <w:rsid w:val="00332B82"/>
    <w:rsid w:val="003D0870"/>
    <w:rsid w:val="0045524F"/>
    <w:rsid w:val="007A4850"/>
    <w:rsid w:val="00922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8872"/>
  <w15:chartTrackingRefBased/>
  <w15:docId w15:val="{F3F7651A-D4E4-4EEE-921F-3FF47C94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CD"/>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9225CD"/>
    <w:pPr>
      <w:spacing w:after="0" w:line="240" w:lineRule="auto"/>
    </w:pPr>
  </w:style>
  <w:style w:type="table" w:styleId="TableGrid">
    <w:name w:val="Table Grid"/>
    <w:basedOn w:val="TableNormal"/>
    <w:uiPriority w:val="39"/>
    <w:rsid w:val="0092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2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Notley</dc:creator>
  <cp:keywords/>
  <dc:description/>
  <cp:lastModifiedBy>Aaron</cp:lastModifiedBy>
  <cp:revision>2</cp:revision>
  <dcterms:created xsi:type="dcterms:W3CDTF">2023-08-14T09:58:00Z</dcterms:created>
  <dcterms:modified xsi:type="dcterms:W3CDTF">2023-08-14T09:58:00Z</dcterms:modified>
</cp:coreProperties>
</file>